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120" w:before="120" w:line="240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rtl w:val="0"/>
        </w:rPr>
        <w:t xml:space="preserve">“ 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budynków wielorodzinnych w gminie Szczytno”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qpmRJ+7R/HYDu84cAh+CmlhhTQ==">CgMxLjAyCGguZ2pkZ3hzMgloLjMwajB6bGw4AGojChRzdWdnZXN0LnhiZncyNG5qbml2ZRILS2Fyb2wgTm93YWtqIwoUc3VnZ2VzdC43cXgxNDRuaXgzOWMSC0thcm9sIE5vd2FraiMKFHN1Z2dlc3QuZXhkcWR4djl5d3JmEgtLYXJvbCBOb3dha3IhMWtvVjFzZm9GR21nUDRoLTZEbEhGMlBtaVRwQ09jZkVx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